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7EA4E" w14:textId="0BBB33E6" w:rsidR="00D7765D" w:rsidRPr="004B6F45" w:rsidRDefault="00D7765D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r w:rsidRPr="004B6F45">
        <w:rPr>
          <w:rFonts w:eastAsia="Times New Roman"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4B6F45">
        <w:rPr>
          <w:rFonts w:eastAsia="Times New Roman"/>
          <w:bCs/>
          <w:sz w:val="24"/>
          <w:szCs w:val="24"/>
          <w:lang w:eastAsia="ja-JP"/>
        </w:rPr>
        <w:t xml:space="preserve">SG-RAN WG2 </w:t>
      </w:r>
      <w:r>
        <w:rPr>
          <w:rFonts w:eastAsia="Times New Roman"/>
          <w:bCs/>
          <w:sz w:val="24"/>
          <w:szCs w:val="24"/>
          <w:lang w:eastAsia="ja-JP"/>
        </w:rPr>
        <w:t>#101</w:t>
      </w:r>
      <w:r w:rsidR="00A16E2E">
        <w:rPr>
          <w:rFonts w:eastAsia="Times New Roman"/>
          <w:bCs/>
          <w:sz w:val="24"/>
          <w:szCs w:val="24"/>
          <w:lang w:eastAsia="ja-JP"/>
        </w:rPr>
        <w:t>bis</w:t>
      </w:r>
      <w:r>
        <w:rPr>
          <w:rFonts w:eastAsia="Times New Roman"/>
          <w:bCs/>
          <w:sz w:val="24"/>
          <w:szCs w:val="24"/>
          <w:lang w:eastAsia="ja-JP"/>
        </w:rPr>
        <w:t xml:space="preserve">                                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  </w:t>
      </w:r>
      <w:r w:rsidR="009B3BCD" w:rsidRPr="009B3BCD">
        <w:rPr>
          <w:rFonts w:eastAsia="Times New Roman"/>
          <w:bCs/>
          <w:sz w:val="24"/>
          <w:szCs w:val="24"/>
          <w:lang w:eastAsia="ja-JP"/>
        </w:rPr>
        <w:t>R2-1804628</w:t>
      </w:r>
    </w:p>
    <w:p w14:paraId="62A47193" w14:textId="0BEF6CCD" w:rsidR="00D7765D" w:rsidRDefault="00A16E2E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sz w:val="24"/>
          <w:szCs w:val="24"/>
          <w:lang w:eastAsia="ja-JP"/>
        </w:rPr>
      </w:pPr>
      <w:r w:rsidRPr="00A16E2E">
        <w:rPr>
          <w:rFonts w:eastAsia="Times New Roman"/>
          <w:bCs/>
          <w:sz w:val="24"/>
          <w:szCs w:val="24"/>
          <w:lang w:eastAsia="ja-JP"/>
        </w:rPr>
        <w:t>Sanya, China, 16-20 April, 2018</w:t>
      </w:r>
    </w:p>
    <w:p w14:paraId="002074C9" w14:textId="77777777" w:rsidR="00D7765D" w:rsidRPr="008712A2" w:rsidRDefault="00D7765D" w:rsidP="00D7765D">
      <w:pPr>
        <w:pStyle w:val="3GPPHeader"/>
        <w:spacing w:after="0"/>
        <w:rPr>
          <w:rFonts w:ascii="Arial" w:hAnsi="Arial" w:cs="Arial"/>
          <w:szCs w:val="24"/>
          <w:lang w:val="en-US"/>
        </w:rPr>
      </w:pPr>
    </w:p>
    <w:p w14:paraId="782CEDA7" w14:textId="11A90CEE" w:rsidR="00D7765D" w:rsidRPr="009D6AF2" w:rsidRDefault="00D40CE8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  <w:t xml:space="preserve">    10.2.2.1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446F0D49" w:rsidR="00D7765D" w:rsidRPr="007D4867" w:rsidRDefault="00D7765D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1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12774E">
        <w:rPr>
          <w:b/>
          <w:sz w:val="24"/>
        </w:rPr>
        <w:t>NR CA model</w:t>
      </w:r>
    </w:p>
    <w:bookmarkEnd w:id="1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277A927C" w14:textId="3A621D72" w:rsidR="00D83562" w:rsidRPr="00031769" w:rsidRDefault="003C1CA3" w:rsidP="00031769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0EE4BADE" w14:textId="5CFEF17E" w:rsidR="00842B3E" w:rsidRDefault="007F05CD" w:rsidP="008135C8">
      <w:pPr>
        <w:pStyle w:val="Doc-text2"/>
        <w:tabs>
          <w:tab w:val="left" w:pos="340"/>
        </w:tabs>
        <w:ind w:left="0" w:firstLine="0"/>
        <w:jc w:val="both"/>
      </w:pPr>
      <w:r>
        <w:t>In this pap</w:t>
      </w:r>
      <w:r w:rsidR="001F1154">
        <w:t xml:space="preserve">er, we </w:t>
      </w:r>
      <w:r w:rsidR="00031769">
        <w:t xml:space="preserve">would like to clarify the </w:t>
      </w:r>
      <w:r w:rsidR="00C43A4D">
        <w:t xml:space="preserve">NR CA model. We want to confirm that the </w:t>
      </w:r>
      <w:r w:rsidR="00C74604">
        <w:t>frame timing and SFN are</w:t>
      </w:r>
      <w:r w:rsidR="00C43A4D">
        <w:t xml:space="preserve"> synchronized </w:t>
      </w:r>
      <w:r w:rsidR="00C74604">
        <w:t xml:space="preserve">among the NR </w:t>
      </w:r>
      <w:r w:rsidR="00C43A4D">
        <w:t xml:space="preserve">cells </w:t>
      </w:r>
      <w:r w:rsidR="00C74604">
        <w:t xml:space="preserve">in a CA group </w:t>
      </w:r>
      <w:r w:rsidR="00C43A4D">
        <w:t>(as in LTE CA).</w:t>
      </w:r>
    </w:p>
    <w:p w14:paraId="643CACD7" w14:textId="77777777" w:rsidR="00F81F1D" w:rsidRDefault="00F81F1D" w:rsidP="008135C8">
      <w:pPr>
        <w:pStyle w:val="Doc-text2"/>
        <w:tabs>
          <w:tab w:val="left" w:pos="340"/>
        </w:tabs>
        <w:ind w:left="0" w:firstLine="0"/>
        <w:jc w:val="both"/>
      </w:pPr>
    </w:p>
    <w:p w14:paraId="4A5C1F6B" w14:textId="780FCDB5" w:rsidR="001E64CC" w:rsidRPr="00B94288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1F6E6F3A" w14:textId="58726DC4" w:rsidR="00C43A4D" w:rsidRDefault="00C43A4D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In LTE 36.300 </w:t>
      </w:r>
      <w:r w:rsidRPr="00C43A4D">
        <w:rPr>
          <w:rFonts w:cs="Arial"/>
          <w:lang w:val="en-GB"/>
        </w:rPr>
        <w:t xml:space="preserve">Annex J </w:t>
      </w:r>
      <w:r>
        <w:rPr>
          <w:rFonts w:cs="Arial"/>
          <w:lang w:val="en-GB"/>
        </w:rPr>
        <w:t>[1], we have the following description about carrier a</w:t>
      </w:r>
      <w:r w:rsidRPr="00C43A4D">
        <w:rPr>
          <w:rFonts w:cs="Arial"/>
          <w:lang w:val="en-GB"/>
        </w:rPr>
        <w:t>ggregation</w:t>
      </w:r>
      <w:r>
        <w:rPr>
          <w:rFonts w:cs="Arial"/>
          <w:lang w:val="en-GB"/>
        </w:rPr>
        <w:t xml:space="preserve"> (CA):</w:t>
      </w:r>
    </w:p>
    <w:p w14:paraId="0570EE4B" w14:textId="77777777" w:rsidR="00C43A4D" w:rsidRDefault="00C43A4D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2BAF3DE0" w14:textId="77777777" w:rsidR="00C43A4D" w:rsidRPr="00C43A4D" w:rsidRDefault="00C43A4D" w:rsidP="00C43A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43A4D">
        <w:rPr>
          <w:rFonts w:eastAsia="Times New Roman"/>
          <w:lang w:eastAsia="ja-JP"/>
        </w:rPr>
        <w:t>When CA is deployed frame timing and SFN are aligned across cells that can be aggregated.</w:t>
      </w:r>
    </w:p>
    <w:p w14:paraId="7C5FAAD9" w14:textId="32236528" w:rsidR="00C43A4D" w:rsidRDefault="00C74604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>Although the above text is from Annex, it provide</w:t>
      </w:r>
      <w:r w:rsidR="00D40CE8">
        <w:rPr>
          <w:rFonts w:cs="Arial"/>
          <w:lang w:val="en-GB"/>
        </w:rPr>
        <w:t>s</w:t>
      </w:r>
      <w:r>
        <w:rPr>
          <w:rFonts w:cs="Arial"/>
          <w:lang w:val="en-GB"/>
        </w:rPr>
        <w:t xml:space="preserve"> good guideline </w:t>
      </w:r>
      <w:r w:rsidR="003D519F">
        <w:rPr>
          <w:rFonts w:cs="Arial"/>
          <w:lang w:val="en-GB"/>
        </w:rPr>
        <w:t>to</w:t>
      </w:r>
      <w:r>
        <w:rPr>
          <w:rFonts w:cs="Arial"/>
          <w:lang w:val="en-GB"/>
        </w:rPr>
        <w:t xml:space="preserve"> LTE CA</w:t>
      </w:r>
      <w:r w:rsidR="00B35872">
        <w:rPr>
          <w:rFonts w:cs="Arial"/>
          <w:lang w:val="en-GB"/>
        </w:rPr>
        <w:t xml:space="preserve"> model</w:t>
      </w:r>
      <w:r>
        <w:rPr>
          <w:rFonts w:cs="Arial"/>
          <w:lang w:val="en-GB"/>
        </w:rPr>
        <w:t xml:space="preserve">. </w:t>
      </w:r>
      <w:r w:rsidR="00B35872">
        <w:rPr>
          <w:rFonts w:cs="Arial"/>
          <w:lang w:val="en-GB"/>
        </w:rPr>
        <w:t>Since</w:t>
      </w:r>
      <w:r>
        <w:rPr>
          <w:rFonts w:cs="Arial"/>
          <w:lang w:val="en-GB"/>
        </w:rPr>
        <w:t xml:space="preserve"> NR CA </w:t>
      </w:r>
      <w:r w:rsidR="00B35872" w:rsidRPr="00B35872">
        <w:rPr>
          <w:rFonts w:cs="Arial"/>
          <w:lang w:val="en-GB"/>
        </w:rPr>
        <w:t>inherit</w:t>
      </w:r>
      <w:r w:rsidR="00D40CE8">
        <w:rPr>
          <w:rFonts w:cs="Arial"/>
          <w:lang w:val="en-GB"/>
        </w:rPr>
        <w:t>s</w:t>
      </w:r>
      <w:r w:rsidR="00B35872" w:rsidRPr="00B35872">
        <w:rPr>
          <w:rFonts w:cs="Arial"/>
          <w:lang w:val="en-GB"/>
        </w:rPr>
        <w:t xml:space="preserve"> </w:t>
      </w:r>
      <w:r w:rsidR="00F6106E">
        <w:rPr>
          <w:rFonts w:cs="Arial"/>
          <w:lang w:val="en-GB"/>
        </w:rPr>
        <w:t>from LTE</w:t>
      </w:r>
      <w:r w:rsidR="00B35872">
        <w:rPr>
          <w:rFonts w:cs="Arial"/>
          <w:lang w:val="en-GB"/>
        </w:rPr>
        <w:t xml:space="preserve">, </w:t>
      </w:r>
      <w:r w:rsidR="00C610C4">
        <w:rPr>
          <w:rFonts w:cs="Arial"/>
          <w:lang w:val="en-GB"/>
        </w:rPr>
        <w:t xml:space="preserve">we think that </w:t>
      </w:r>
      <w:r w:rsidR="00B35872">
        <w:rPr>
          <w:rFonts w:cs="Arial"/>
          <w:lang w:val="en-GB"/>
        </w:rPr>
        <w:t xml:space="preserve">similar text should be present in 38.300. </w:t>
      </w:r>
      <w:r w:rsidR="00C610C4">
        <w:rPr>
          <w:rFonts w:cs="Arial"/>
          <w:lang w:val="en-GB"/>
        </w:rPr>
        <w:t xml:space="preserve">RAN4 is discussing </w:t>
      </w:r>
      <w:r w:rsidR="00F6106E">
        <w:rPr>
          <w:rFonts w:cs="Arial"/>
          <w:lang w:val="en-GB"/>
        </w:rPr>
        <w:t>the timing synchronization and corresponding UE requirement (i.e. UE shall cope with</w:t>
      </w:r>
      <w:r w:rsidR="00F6106E" w:rsidRPr="00F6106E">
        <w:rPr>
          <w:rFonts w:cs="Arial"/>
          <w:lang w:val="en-GB"/>
        </w:rPr>
        <w:t xml:space="preserve"> </w:t>
      </w:r>
      <w:r w:rsidR="00F6106E">
        <w:rPr>
          <w:rFonts w:cs="Arial"/>
          <w:lang w:val="en-GB"/>
        </w:rPr>
        <w:t>how much ti</w:t>
      </w:r>
      <w:r w:rsidR="00D40CE8">
        <w:rPr>
          <w:rFonts w:cs="Arial"/>
          <w:lang w:val="en-GB"/>
        </w:rPr>
        <w:t>ming difference)</w:t>
      </w:r>
      <w:r w:rsidR="00F6106E">
        <w:rPr>
          <w:rFonts w:cs="Arial"/>
          <w:lang w:val="en-GB"/>
        </w:rPr>
        <w:t xml:space="preserve">. The related text from 38.133 </w:t>
      </w:r>
      <w:r w:rsidR="00D40CE8">
        <w:rPr>
          <w:rFonts w:cs="Arial"/>
          <w:lang w:val="en-GB"/>
        </w:rPr>
        <w:t xml:space="preserve">[2] </w:t>
      </w:r>
      <w:r w:rsidR="00F6106E">
        <w:rPr>
          <w:rFonts w:cs="Arial"/>
          <w:lang w:val="en-GB"/>
        </w:rPr>
        <w:t xml:space="preserve">is provided in Annex. </w:t>
      </w:r>
      <w:r w:rsidR="00AA202C">
        <w:rPr>
          <w:rFonts w:cs="Arial"/>
          <w:lang w:val="en-GB"/>
        </w:rPr>
        <w:t xml:space="preserve">So, it should be clear that frame timing is </w:t>
      </w:r>
      <w:r w:rsidR="00AA202C" w:rsidRPr="00AA202C">
        <w:rPr>
          <w:rFonts w:cs="Arial"/>
          <w:lang w:val="en-GB"/>
        </w:rPr>
        <w:t xml:space="preserve">synchronized among the NR cells in a </w:t>
      </w:r>
      <w:r w:rsidR="003D519F">
        <w:rPr>
          <w:rFonts w:cs="Arial"/>
          <w:lang w:val="en-GB"/>
        </w:rPr>
        <w:t xml:space="preserve">NR </w:t>
      </w:r>
      <w:r w:rsidR="00AA202C" w:rsidRPr="00AA202C">
        <w:rPr>
          <w:rFonts w:cs="Arial"/>
          <w:lang w:val="en-GB"/>
        </w:rPr>
        <w:t>CA group</w:t>
      </w:r>
      <w:r w:rsidR="00135712">
        <w:rPr>
          <w:rFonts w:cs="Arial"/>
          <w:lang w:val="en-GB"/>
        </w:rPr>
        <w:t>.</w:t>
      </w:r>
    </w:p>
    <w:p w14:paraId="01CDC1D0" w14:textId="77777777" w:rsidR="0046779C" w:rsidRDefault="0046779C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0D063486" w14:textId="4D6162D7" w:rsidR="0046779C" w:rsidRPr="007612A6" w:rsidRDefault="007B7674" w:rsidP="00EF6B92">
      <w:pPr>
        <w:pStyle w:val="Doc-text2"/>
        <w:tabs>
          <w:tab w:val="left" w:pos="340"/>
        </w:tabs>
        <w:ind w:left="0" w:firstLine="0"/>
        <w:jc w:val="both"/>
      </w:pPr>
      <w:r>
        <w:rPr>
          <w:rFonts w:cs="Arial"/>
          <w:lang w:val="en-GB"/>
        </w:rPr>
        <w:t>The</w:t>
      </w:r>
      <w:r w:rsidR="00135712">
        <w:rPr>
          <w:rFonts w:cs="Arial"/>
          <w:lang w:val="en-GB"/>
        </w:rPr>
        <w:t xml:space="preserve"> SFN </w:t>
      </w:r>
      <w:r>
        <w:rPr>
          <w:rFonts w:cs="Arial"/>
          <w:lang w:val="en-GB"/>
        </w:rPr>
        <w:t xml:space="preserve">is </w:t>
      </w:r>
      <w:r>
        <w:t>synchronized</w:t>
      </w:r>
      <w:r w:rsidR="00121C32">
        <w:t xml:space="preserve"> in</w:t>
      </w:r>
      <w:r w:rsidR="00D40CE8">
        <w:t xml:space="preserve"> </w:t>
      </w:r>
      <w:r>
        <w:t xml:space="preserve">LTE </w:t>
      </w:r>
      <w:r w:rsidR="00913459">
        <w:t xml:space="preserve">CA </w:t>
      </w:r>
      <w:r w:rsidR="002E0AA2">
        <w:t xml:space="preserve">because </w:t>
      </w:r>
      <w:r w:rsidR="00146C7F">
        <w:t>this</w:t>
      </w:r>
      <w:r w:rsidR="002E0AA2">
        <w:t xml:space="preserve"> is required for common DRX operation.</w:t>
      </w:r>
      <w:r w:rsidR="00146C7F">
        <w:t xml:space="preserve"> In NR, the DRX mechanism is basically the same </w:t>
      </w:r>
      <w:r w:rsidR="00C02C3B">
        <w:t>and thus the</w:t>
      </w:r>
      <w:r w:rsidR="00146C7F">
        <w:t xml:space="preserve"> requirement should be kept. Furthermore, </w:t>
      </w:r>
      <w:r w:rsidR="007612A6">
        <w:t>it is simpler for the system and specification if we could a</w:t>
      </w:r>
      <w:r w:rsidR="00121C32">
        <w:t>ssume that SFN/Framing timing are</w:t>
      </w:r>
      <w:r w:rsidR="007612A6">
        <w:t xml:space="preserve"> synchronized. We see no reason to change the LTE principle. </w:t>
      </w:r>
      <w:r>
        <w:rPr>
          <w:rFonts w:cs="Arial"/>
          <w:lang w:val="en-GB"/>
        </w:rPr>
        <w:t xml:space="preserve">Therefore, we propose to confirm that frame timing and SFN are aligned in NR CA. </w:t>
      </w:r>
    </w:p>
    <w:p w14:paraId="51ADEFFB" w14:textId="77777777" w:rsidR="00506A6F" w:rsidRPr="007612A6" w:rsidRDefault="00506A6F" w:rsidP="001E63E8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179CAE40" w14:textId="514C4BA4" w:rsidR="00556292" w:rsidRDefault="00556292" w:rsidP="00556292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 w:rsidR="00535960">
        <w:rPr>
          <w:b/>
        </w:rPr>
        <w:t xml:space="preserve"> 1</w:t>
      </w:r>
      <w:r>
        <w:rPr>
          <w:b/>
        </w:rPr>
        <w:t xml:space="preserve">: </w:t>
      </w:r>
      <w:r w:rsidR="00486033" w:rsidRPr="00486033">
        <w:rPr>
          <w:b/>
        </w:rPr>
        <w:t xml:space="preserve">Frame timing </w:t>
      </w:r>
      <w:r w:rsidR="00486033">
        <w:rPr>
          <w:b/>
        </w:rPr>
        <w:t xml:space="preserve">and </w:t>
      </w:r>
      <w:r w:rsidR="00812F13">
        <w:rPr>
          <w:b/>
        </w:rPr>
        <w:t>SFN are</w:t>
      </w:r>
      <w:r w:rsidR="00486033" w:rsidRPr="00486033">
        <w:rPr>
          <w:b/>
        </w:rPr>
        <w:t xml:space="preserve"> aligned across </w:t>
      </w:r>
      <w:r w:rsidR="00486033">
        <w:rPr>
          <w:b/>
        </w:rPr>
        <w:t xml:space="preserve">NR </w:t>
      </w:r>
      <w:r w:rsidR="00486033" w:rsidRPr="00486033">
        <w:rPr>
          <w:b/>
        </w:rPr>
        <w:t>cells that can be aggregated</w:t>
      </w:r>
      <w:r w:rsidR="00486033">
        <w:rPr>
          <w:b/>
        </w:rPr>
        <w:t>.</w:t>
      </w:r>
      <w:r w:rsidR="00486033" w:rsidRPr="00486033">
        <w:rPr>
          <w:b/>
        </w:rPr>
        <w:t xml:space="preserve"> </w:t>
      </w:r>
    </w:p>
    <w:p w14:paraId="4F22AF9A" w14:textId="49B4C0B3" w:rsidR="000A27AC" w:rsidRDefault="000A27AC" w:rsidP="00486033">
      <w:pPr>
        <w:pStyle w:val="Doc-text2"/>
        <w:tabs>
          <w:tab w:val="left" w:pos="340"/>
        </w:tabs>
        <w:ind w:left="0" w:firstLine="0"/>
        <w:jc w:val="both"/>
      </w:pPr>
    </w:p>
    <w:p w14:paraId="33D25A88" w14:textId="0F2EA170" w:rsidR="00331EE4" w:rsidRDefault="00331EE4" w:rsidP="000251B2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t xml:space="preserve">A </w:t>
      </w:r>
      <w:r w:rsidR="00486033">
        <w:t>CR on 38.300</w:t>
      </w:r>
      <w:r>
        <w:t xml:space="preserve"> based on</w:t>
      </w:r>
      <w:r w:rsidR="00CA48AE">
        <w:t xml:space="preserve"> proposal 1</w:t>
      </w:r>
      <w:r w:rsidR="00914F9F">
        <w:t xml:space="preserve"> is provided [3]</w:t>
      </w:r>
      <w:r>
        <w:t xml:space="preserve">. We think that RAN2 </w:t>
      </w:r>
      <w:r w:rsidR="00462400">
        <w:t xml:space="preserve">should adopt this </w:t>
      </w:r>
      <w:r w:rsidR="00E7070D">
        <w:t>CR</w:t>
      </w:r>
      <w:r w:rsidR="00462400">
        <w:t xml:space="preserve"> to </w:t>
      </w:r>
      <w:r w:rsidR="00F57095">
        <w:t xml:space="preserve">clarify </w:t>
      </w:r>
      <w:r w:rsidR="00E0678F">
        <w:t xml:space="preserve">the </w:t>
      </w:r>
      <w:r w:rsidR="00F57095">
        <w:t>NR CA model.</w:t>
      </w:r>
    </w:p>
    <w:p w14:paraId="191424D1" w14:textId="77777777" w:rsidR="000251B2" w:rsidRDefault="000251B2" w:rsidP="00EF20EF">
      <w:pPr>
        <w:pStyle w:val="Doc-text2"/>
        <w:tabs>
          <w:tab w:val="left" w:pos="340"/>
        </w:tabs>
        <w:ind w:left="0" w:firstLine="0"/>
        <w:jc w:val="both"/>
      </w:pPr>
    </w:p>
    <w:p w14:paraId="5940F807" w14:textId="63323512" w:rsidR="00D63EF1" w:rsidRDefault="00D63EF1" w:rsidP="00D63EF1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2: </w:t>
      </w:r>
      <w:r w:rsidR="00E0678F" w:rsidRPr="00E0678F">
        <w:rPr>
          <w:b/>
        </w:rPr>
        <w:t xml:space="preserve">RAN2 adopts the </w:t>
      </w:r>
      <w:r w:rsidR="00EA49F1">
        <w:rPr>
          <w:b/>
        </w:rPr>
        <w:t xml:space="preserve">corresponding </w:t>
      </w:r>
      <w:r w:rsidR="00E0678F" w:rsidRPr="00E0678F">
        <w:rPr>
          <w:b/>
        </w:rPr>
        <w:t xml:space="preserve">CR on </w:t>
      </w:r>
      <w:r w:rsidR="00EA49F1">
        <w:rPr>
          <w:b/>
        </w:rPr>
        <w:t xml:space="preserve">NR CA </w:t>
      </w:r>
      <w:r w:rsidR="00146C7F">
        <w:rPr>
          <w:b/>
        </w:rPr>
        <w:t>clarification</w:t>
      </w:r>
      <w:r w:rsidR="00EA49F1">
        <w:rPr>
          <w:b/>
        </w:rPr>
        <w:t xml:space="preserve"> </w:t>
      </w:r>
      <w:r w:rsidR="00797B5C">
        <w:rPr>
          <w:b/>
        </w:rPr>
        <w:t>(</w:t>
      </w:r>
      <w:r w:rsidR="00797B5C" w:rsidRPr="00797B5C">
        <w:rPr>
          <w:b/>
        </w:rPr>
        <w:t>R2-1804629</w:t>
      </w:r>
      <w:r w:rsidR="00E0678F" w:rsidRPr="00E0678F">
        <w:rPr>
          <w:b/>
        </w:rPr>
        <w:t>)</w:t>
      </w:r>
      <w:r w:rsidR="00EA49F1">
        <w:rPr>
          <w:b/>
        </w:rPr>
        <w:t>.</w:t>
      </w:r>
    </w:p>
    <w:p w14:paraId="02EEB452" w14:textId="77777777" w:rsidR="000251B2" w:rsidRDefault="000251B2" w:rsidP="00EF20EF">
      <w:pPr>
        <w:pStyle w:val="Doc-text2"/>
        <w:tabs>
          <w:tab w:val="left" w:pos="340"/>
        </w:tabs>
        <w:ind w:left="0" w:firstLine="0"/>
        <w:jc w:val="both"/>
      </w:pP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77777777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 xml:space="preserve">Base on the discussion in section 2, we propose the following: </w:t>
      </w:r>
    </w:p>
    <w:p w14:paraId="0F80D15B" w14:textId="77777777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B7BE205" w14:textId="77777777" w:rsidR="002A65FD" w:rsidRDefault="002A65FD" w:rsidP="002A65FD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1: </w:t>
      </w:r>
      <w:r w:rsidRPr="00486033">
        <w:rPr>
          <w:b/>
        </w:rPr>
        <w:t xml:space="preserve">Frame timing </w:t>
      </w:r>
      <w:r>
        <w:rPr>
          <w:b/>
        </w:rPr>
        <w:t>and SFN are</w:t>
      </w:r>
      <w:r w:rsidRPr="00486033">
        <w:rPr>
          <w:b/>
        </w:rPr>
        <w:t xml:space="preserve"> aligned across </w:t>
      </w:r>
      <w:r>
        <w:rPr>
          <w:b/>
        </w:rPr>
        <w:t xml:space="preserve">NR </w:t>
      </w:r>
      <w:r w:rsidRPr="00486033">
        <w:rPr>
          <w:b/>
        </w:rPr>
        <w:t>cells that can be aggregated</w:t>
      </w:r>
      <w:r>
        <w:rPr>
          <w:b/>
        </w:rPr>
        <w:t>.</w:t>
      </w:r>
      <w:r w:rsidRPr="00486033">
        <w:rPr>
          <w:b/>
        </w:rPr>
        <w:t xml:space="preserve"> </w:t>
      </w:r>
    </w:p>
    <w:p w14:paraId="4EDB8D3F" w14:textId="77777777" w:rsidR="006215FC" w:rsidRDefault="006215FC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CCB3B9E" w14:textId="3B36F85C" w:rsidR="002A65FD" w:rsidRDefault="002A65FD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2: </w:t>
      </w:r>
      <w:r w:rsidRPr="00E0678F">
        <w:rPr>
          <w:b/>
        </w:rPr>
        <w:t xml:space="preserve">RAN2 adopts the </w:t>
      </w:r>
      <w:r>
        <w:rPr>
          <w:b/>
        </w:rPr>
        <w:t xml:space="preserve">corresponding </w:t>
      </w:r>
      <w:r w:rsidRPr="00E0678F">
        <w:rPr>
          <w:b/>
        </w:rPr>
        <w:t xml:space="preserve">CR on </w:t>
      </w:r>
      <w:r>
        <w:rPr>
          <w:b/>
        </w:rPr>
        <w:t xml:space="preserve">NR CA clarification </w:t>
      </w:r>
      <w:r w:rsidR="00797B5C">
        <w:rPr>
          <w:b/>
        </w:rPr>
        <w:t>(</w:t>
      </w:r>
      <w:r w:rsidR="00797B5C" w:rsidRPr="00797B5C">
        <w:rPr>
          <w:b/>
        </w:rPr>
        <w:t>R2-1804629</w:t>
      </w:r>
      <w:r w:rsidRPr="00E0678F">
        <w:rPr>
          <w:b/>
        </w:rPr>
        <w:t>)</w:t>
      </w:r>
      <w:r>
        <w:rPr>
          <w:b/>
        </w:rPr>
        <w:t>.</w:t>
      </w:r>
    </w:p>
    <w:p w14:paraId="24EB31A3" w14:textId="77777777" w:rsidR="002A65FD" w:rsidRDefault="002A65FD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30A4C0A" w14:textId="6170D0A3" w:rsidR="00EF622C" w:rsidRDefault="006214D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3F301D7B" w14:textId="6086BA7C" w:rsidR="0081364B" w:rsidRDefault="00217ED3" w:rsidP="0081364B">
      <w:pPr>
        <w:spacing w:after="60"/>
        <w:rPr>
          <w:rFonts w:ascii="Arial" w:hAnsi="Arial" w:cs="Arial"/>
          <w:lang w:eastAsia="ko-KR"/>
        </w:rPr>
      </w:pPr>
      <w:r w:rsidRPr="00E14D50">
        <w:rPr>
          <w:rFonts w:ascii="Arial" w:hAnsi="Arial" w:cs="Arial"/>
          <w:lang w:val="en-US" w:eastAsia="ko-KR"/>
        </w:rPr>
        <w:t>[</w:t>
      </w:r>
      <w:r w:rsidRPr="00E14D50">
        <w:rPr>
          <w:rFonts w:ascii="Arial" w:hAnsi="Arial" w:cs="Arial"/>
          <w:lang w:eastAsia="ko-KR"/>
        </w:rPr>
        <w:t>1</w:t>
      </w:r>
      <w:r w:rsidR="00A979AD" w:rsidRPr="00E14D50">
        <w:rPr>
          <w:rFonts w:ascii="Arial" w:hAnsi="Arial" w:cs="Arial"/>
          <w:lang w:eastAsia="ko-KR"/>
        </w:rPr>
        <w:t>]</w:t>
      </w:r>
      <w:r w:rsidR="00D872C4" w:rsidRPr="00E14D50">
        <w:rPr>
          <w:rFonts w:ascii="Arial" w:hAnsi="Arial" w:cs="Arial"/>
          <w:lang w:eastAsia="ko-KR"/>
        </w:rPr>
        <w:t xml:space="preserve"> </w:t>
      </w:r>
      <w:r w:rsidR="00031769">
        <w:rPr>
          <w:rFonts w:ascii="Arial" w:hAnsi="Arial" w:cs="Arial"/>
          <w:lang w:eastAsia="ko-KR"/>
        </w:rPr>
        <w:t>36.300 v15.0.0</w:t>
      </w:r>
    </w:p>
    <w:p w14:paraId="06936B44" w14:textId="0D153638" w:rsidR="00031769" w:rsidRDefault="00031769" w:rsidP="0081364B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[2] </w:t>
      </w:r>
      <w:r w:rsidR="0046779C">
        <w:rPr>
          <w:rFonts w:ascii="Arial" w:hAnsi="Arial" w:cs="Arial"/>
          <w:lang w:eastAsia="ko-KR"/>
        </w:rPr>
        <w:t>38.133 v15.0.0</w:t>
      </w:r>
    </w:p>
    <w:p w14:paraId="6FDE5AA4" w14:textId="1EA87074" w:rsidR="00E0678F" w:rsidRPr="0081364B" w:rsidRDefault="00E0678F" w:rsidP="0081364B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[3] </w:t>
      </w:r>
      <w:bookmarkStart w:id="2" w:name="_GoBack"/>
      <w:bookmarkEnd w:id="2"/>
      <w:r w:rsidR="00797B5C" w:rsidRPr="00797B5C">
        <w:rPr>
          <w:rFonts w:ascii="Arial" w:hAnsi="Arial" w:cs="Arial"/>
        </w:rPr>
        <w:t>R2-1804629</w:t>
      </w:r>
      <w:r w:rsidR="00913459">
        <w:rPr>
          <w:rFonts w:ascii="Arial" w:hAnsi="Arial" w:cs="Arial"/>
        </w:rPr>
        <w:t>, “</w:t>
      </w:r>
      <w:r w:rsidR="00913459" w:rsidRPr="00913459">
        <w:rPr>
          <w:rFonts w:ascii="Arial" w:hAnsi="Arial" w:cs="Arial"/>
        </w:rPr>
        <w:t>Clarification on NR Carrier Aggregation</w:t>
      </w:r>
      <w:r w:rsidR="0044202C">
        <w:rPr>
          <w:rFonts w:ascii="Arial" w:hAnsi="Arial" w:cs="Arial"/>
        </w:rPr>
        <w:t>”</w:t>
      </w:r>
    </w:p>
    <w:p w14:paraId="410B819F" w14:textId="79E8C32D" w:rsidR="00CA4282" w:rsidRDefault="00CA4282">
      <w:pPr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br w:type="page"/>
      </w:r>
    </w:p>
    <w:p w14:paraId="6DF1E01B" w14:textId="77777777" w:rsidR="00CA4282" w:rsidRDefault="00CA4282" w:rsidP="00CA4282">
      <w:pPr>
        <w:spacing w:after="0"/>
        <w:rPr>
          <w:rFonts w:ascii="Arial" w:hAnsi="Arial" w:cs="Arial"/>
          <w:lang w:eastAsia="ko-KR"/>
        </w:rPr>
      </w:pPr>
    </w:p>
    <w:p w14:paraId="732F5AED" w14:textId="76D6F85B" w:rsidR="00CA4282" w:rsidRDefault="006616AA" w:rsidP="00CA4282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 xml:space="preserve">Annex: </w:t>
      </w:r>
      <w:r w:rsidR="00023FFD">
        <w:rPr>
          <w:lang w:val="en-US" w:eastAsia="ko-KR"/>
        </w:rPr>
        <w:t>38</w:t>
      </w:r>
      <w:r w:rsidR="00C610C4">
        <w:rPr>
          <w:lang w:val="en-US" w:eastAsia="ko-KR"/>
        </w:rPr>
        <w:t xml:space="preserve">.133 </w:t>
      </w:r>
    </w:p>
    <w:p w14:paraId="045CBF48" w14:textId="77777777" w:rsidR="0046779C" w:rsidRPr="006A58DC" w:rsidRDefault="0046779C" w:rsidP="0046779C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3" w:name="_Toc503256097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6</w:t>
      </w:r>
      <w:r w:rsidRPr="006A58DC">
        <w:rPr>
          <w:lang w:eastAsia="ko-KR"/>
        </w:rPr>
        <w:t>.3</w:t>
      </w:r>
      <w:r w:rsidRPr="006A58DC">
        <w:rPr>
          <w:lang w:eastAsia="ko-KR"/>
        </w:rPr>
        <w:tab/>
        <w:t>Minimum Requirements for NR Carrier Aggregation</w:t>
      </w:r>
      <w:bookmarkEnd w:id="3"/>
    </w:p>
    <w:p w14:paraId="7522F04A" w14:textId="77777777" w:rsidR="0046779C" w:rsidRPr="006A58DC" w:rsidRDefault="0046779C" w:rsidP="0046779C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6A58DC">
        <w:rPr>
          <w:rFonts w:cs="v4.2.0"/>
          <w:lang w:eastAsia="ko-KR"/>
        </w:rPr>
        <w:t xml:space="preserve">For intra-band non-contiguous NR carrier aggregation, the UE shall be capable of handling at least a relative receive timing difference between </w:t>
      </w:r>
      <w:r w:rsidRPr="006A58DC">
        <w:rPr>
          <w:rFonts w:cs="v4.2.0" w:hint="eastAsia"/>
          <w:lang w:eastAsia="ko-KR"/>
        </w:rPr>
        <w:t>slot</w:t>
      </w:r>
      <w:r w:rsidRPr="006A58DC">
        <w:rPr>
          <w:rFonts w:cs="v4.2.0"/>
          <w:lang w:eastAsia="ko-KR"/>
        </w:rPr>
        <w:t xml:space="preserve"> timing of different carriers to be aggregated at the UE receiver as shown in Table 7.6.3-</w:t>
      </w:r>
      <w:r w:rsidRPr="001B443C">
        <w:rPr>
          <w:rFonts w:cs="v4.2.0" w:hint="eastAsia"/>
          <w:lang w:eastAsia="ko-KR"/>
        </w:rPr>
        <w:t>1</w:t>
      </w:r>
      <w:r w:rsidRPr="006A58DC">
        <w:rPr>
          <w:rFonts w:cs="v4.2.0"/>
          <w:lang w:eastAsia="ko-KR"/>
        </w:rPr>
        <w:t xml:space="preserve"> below. </w:t>
      </w:r>
    </w:p>
    <w:p w14:paraId="58693D7E" w14:textId="77777777" w:rsidR="0046779C" w:rsidRPr="006A58DC" w:rsidRDefault="0046779C" w:rsidP="0046779C">
      <w:pPr>
        <w:pStyle w:val="TH"/>
        <w:rPr>
          <w:snapToGrid w:val="0"/>
          <w:lang w:eastAsia="x-none"/>
        </w:rPr>
      </w:pPr>
      <w:r w:rsidRPr="006A58DC">
        <w:rPr>
          <w:snapToGrid w:val="0"/>
          <w:lang w:eastAsia="x-none"/>
        </w:rPr>
        <w:t>Table 7.6.3-</w:t>
      </w:r>
      <w:r w:rsidRPr="001B443C">
        <w:rPr>
          <w:rFonts w:hint="eastAsia"/>
          <w:snapToGrid w:val="0"/>
          <w:lang w:eastAsia="ko-KR"/>
        </w:rPr>
        <w:t>1</w:t>
      </w:r>
      <w:r>
        <w:rPr>
          <w:snapToGrid w:val="0"/>
          <w:lang w:eastAsia="ko-KR"/>
        </w:rPr>
        <w:t>:</w:t>
      </w:r>
      <w:r w:rsidRPr="006A58DC">
        <w:rPr>
          <w:snapToGrid w:val="0"/>
          <w:lang w:eastAsia="x-none"/>
        </w:rPr>
        <w:t xml:space="preserve"> Maximum receive timing difference requirement for intra-band non-contiguous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2380"/>
        <w:gridCol w:w="2693"/>
      </w:tblGrid>
      <w:tr w:rsidR="0046779C" w:rsidRPr="00851858" w14:paraId="5A81D2A1" w14:textId="77777777" w:rsidTr="006106EB">
        <w:trPr>
          <w:jc w:val="center"/>
        </w:trPr>
        <w:tc>
          <w:tcPr>
            <w:tcW w:w="2297" w:type="dxa"/>
            <w:shd w:val="clear" w:color="auto" w:fill="auto"/>
          </w:tcPr>
          <w:p w14:paraId="5868F94B" w14:textId="77777777" w:rsidR="0046779C" w:rsidRPr="00DE33B0" w:rsidRDefault="0046779C" w:rsidP="006106EB">
            <w:pPr>
              <w:pStyle w:val="TAH"/>
              <w:rPr>
                <w:lang w:eastAsia="ko-KR"/>
              </w:rPr>
            </w:pPr>
            <w:r w:rsidRPr="001B443C">
              <w:rPr>
                <w:rFonts w:hint="eastAsia"/>
                <w:lang w:eastAsia="ko-KR"/>
              </w:rPr>
              <w:t xml:space="preserve">DL </w:t>
            </w:r>
            <w:r w:rsidRPr="00851858">
              <w:t>Sub-carrier spacing</w:t>
            </w:r>
            <w:r w:rsidRPr="001B443C">
              <w:rPr>
                <w:rFonts w:hint="eastAsia"/>
                <w:lang w:eastAsia="ko-KR"/>
              </w:rPr>
              <w:t xml:space="preserve"> (kHz)</w:t>
            </w:r>
          </w:p>
        </w:tc>
        <w:tc>
          <w:tcPr>
            <w:tcW w:w="2380" w:type="dxa"/>
            <w:shd w:val="clear" w:color="auto" w:fill="auto"/>
          </w:tcPr>
          <w:p w14:paraId="4E308903" w14:textId="77777777" w:rsidR="0046779C" w:rsidRPr="00851858" w:rsidRDefault="0046779C" w:rsidP="006106EB">
            <w:pPr>
              <w:pStyle w:val="TAH"/>
            </w:pPr>
            <w:r w:rsidRPr="00851858">
              <w:t>Maximum receive timing difference (</w:t>
            </w:r>
            <w:r w:rsidRPr="00851858">
              <w:rPr>
                <w:rFonts w:cs="Arial"/>
              </w:rPr>
              <w:t>µ</w:t>
            </w:r>
            <w:r w:rsidRPr="00851858">
              <w:t>s) for FR1</w:t>
            </w:r>
          </w:p>
        </w:tc>
        <w:tc>
          <w:tcPr>
            <w:tcW w:w="2693" w:type="dxa"/>
          </w:tcPr>
          <w:p w14:paraId="37051EF8" w14:textId="77777777" w:rsidR="0046779C" w:rsidRPr="00851858" w:rsidRDefault="0046779C" w:rsidP="006106EB">
            <w:pPr>
              <w:pStyle w:val="TAH"/>
            </w:pPr>
            <w:r w:rsidRPr="00851858">
              <w:t>Maximum receive timing difference (</w:t>
            </w:r>
            <w:r w:rsidRPr="00851858">
              <w:rPr>
                <w:rFonts w:cs="Arial"/>
              </w:rPr>
              <w:t>µ</w:t>
            </w:r>
            <w:r w:rsidRPr="00851858">
              <w:t>s) for FR2</w:t>
            </w:r>
          </w:p>
        </w:tc>
      </w:tr>
      <w:tr w:rsidR="0046779C" w:rsidRPr="00851858" w14:paraId="597DD00F" w14:textId="77777777" w:rsidTr="006106EB">
        <w:trPr>
          <w:jc w:val="center"/>
        </w:trPr>
        <w:tc>
          <w:tcPr>
            <w:tcW w:w="2297" w:type="dxa"/>
            <w:shd w:val="clear" w:color="auto" w:fill="auto"/>
          </w:tcPr>
          <w:p w14:paraId="417A4FB7" w14:textId="77777777" w:rsidR="0046779C" w:rsidRPr="00851858" w:rsidRDefault="0046779C" w:rsidP="006106EB">
            <w:pPr>
              <w:pStyle w:val="TAC"/>
            </w:pPr>
            <w:r w:rsidRPr="00851858">
              <w:t>15</w:t>
            </w:r>
          </w:p>
        </w:tc>
        <w:tc>
          <w:tcPr>
            <w:tcW w:w="2380" w:type="dxa"/>
            <w:shd w:val="clear" w:color="auto" w:fill="auto"/>
          </w:tcPr>
          <w:p w14:paraId="0C510889" w14:textId="77777777" w:rsidR="0046779C" w:rsidRPr="00851858" w:rsidRDefault="0046779C" w:rsidP="006106EB">
            <w:pPr>
              <w:pStyle w:val="TAC"/>
              <w:rPr>
                <w:lang w:eastAsia="ko-KR"/>
              </w:rPr>
            </w:pPr>
            <w:r>
              <w:t>TBD</w:t>
            </w:r>
          </w:p>
        </w:tc>
        <w:tc>
          <w:tcPr>
            <w:tcW w:w="2693" w:type="dxa"/>
          </w:tcPr>
          <w:p w14:paraId="1BC11636" w14:textId="77777777" w:rsidR="0046779C" w:rsidRPr="00851858" w:rsidRDefault="0046779C" w:rsidP="006106EB">
            <w:pPr>
              <w:pStyle w:val="TAC"/>
            </w:pPr>
            <w:r w:rsidRPr="00851858">
              <w:t>N.A.</w:t>
            </w:r>
          </w:p>
        </w:tc>
      </w:tr>
      <w:tr w:rsidR="0046779C" w:rsidRPr="00851858" w14:paraId="235C609C" w14:textId="77777777" w:rsidTr="006106EB">
        <w:trPr>
          <w:jc w:val="center"/>
        </w:trPr>
        <w:tc>
          <w:tcPr>
            <w:tcW w:w="2297" w:type="dxa"/>
            <w:shd w:val="clear" w:color="auto" w:fill="auto"/>
          </w:tcPr>
          <w:p w14:paraId="4AA3C35D" w14:textId="77777777" w:rsidR="0046779C" w:rsidRPr="00851858" w:rsidRDefault="0046779C" w:rsidP="006106EB">
            <w:pPr>
              <w:pStyle w:val="TAC"/>
            </w:pPr>
            <w:r w:rsidRPr="00851858">
              <w:t>30</w:t>
            </w:r>
          </w:p>
        </w:tc>
        <w:tc>
          <w:tcPr>
            <w:tcW w:w="2380" w:type="dxa"/>
            <w:shd w:val="clear" w:color="auto" w:fill="auto"/>
          </w:tcPr>
          <w:p w14:paraId="078AA08E" w14:textId="77777777" w:rsidR="0046779C" w:rsidRPr="00851858" w:rsidRDefault="0046779C" w:rsidP="006106EB">
            <w:pPr>
              <w:pStyle w:val="TAC"/>
              <w:rPr>
                <w:lang w:eastAsia="ko-KR"/>
              </w:rPr>
            </w:pPr>
            <w:r>
              <w:t>TBD</w:t>
            </w:r>
          </w:p>
        </w:tc>
        <w:tc>
          <w:tcPr>
            <w:tcW w:w="2693" w:type="dxa"/>
          </w:tcPr>
          <w:p w14:paraId="6C3E0BEC" w14:textId="77777777" w:rsidR="0046779C" w:rsidRPr="00851858" w:rsidRDefault="0046779C" w:rsidP="006106EB">
            <w:pPr>
              <w:pStyle w:val="TAC"/>
            </w:pPr>
            <w:r w:rsidRPr="00851858">
              <w:t>N.A.</w:t>
            </w:r>
          </w:p>
        </w:tc>
      </w:tr>
      <w:tr w:rsidR="0046779C" w:rsidRPr="00851858" w14:paraId="02E9F7CC" w14:textId="77777777" w:rsidTr="006106EB">
        <w:trPr>
          <w:jc w:val="center"/>
        </w:trPr>
        <w:tc>
          <w:tcPr>
            <w:tcW w:w="2297" w:type="dxa"/>
            <w:shd w:val="clear" w:color="auto" w:fill="auto"/>
          </w:tcPr>
          <w:p w14:paraId="29F30E86" w14:textId="77777777" w:rsidR="0046779C" w:rsidRPr="00851858" w:rsidRDefault="0046779C" w:rsidP="006106EB">
            <w:pPr>
              <w:pStyle w:val="TAC"/>
            </w:pPr>
            <w:r w:rsidRPr="00851858">
              <w:t>60</w:t>
            </w:r>
          </w:p>
        </w:tc>
        <w:tc>
          <w:tcPr>
            <w:tcW w:w="2380" w:type="dxa"/>
            <w:shd w:val="clear" w:color="auto" w:fill="auto"/>
          </w:tcPr>
          <w:p w14:paraId="6C80F9F4" w14:textId="77777777" w:rsidR="0046779C" w:rsidRPr="00851858" w:rsidRDefault="0046779C" w:rsidP="006106EB">
            <w:pPr>
              <w:pStyle w:val="TAC"/>
              <w:rPr>
                <w:lang w:eastAsia="ko-KR"/>
              </w:rPr>
            </w:pPr>
            <w:r>
              <w:t>TBD</w:t>
            </w:r>
          </w:p>
        </w:tc>
        <w:tc>
          <w:tcPr>
            <w:tcW w:w="2693" w:type="dxa"/>
          </w:tcPr>
          <w:p w14:paraId="2B01E63A" w14:textId="77777777" w:rsidR="0046779C" w:rsidRPr="00851858" w:rsidRDefault="0046779C" w:rsidP="006106EB">
            <w:pPr>
              <w:pStyle w:val="TAC"/>
              <w:rPr>
                <w:lang w:eastAsia="ko-KR"/>
              </w:rPr>
            </w:pPr>
            <w:r>
              <w:t>TBD</w:t>
            </w:r>
          </w:p>
        </w:tc>
      </w:tr>
      <w:tr w:rsidR="0046779C" w:rsidRPr="00851858" w14:paraId="2CD7031F" w14:textId="77777777" w:rsidTr="006106EB">
        <w:trPr>
          <w:jc w:val="center"/>
        </w:trPr>
        <w:tc>
          <w:tcPr>
            <w:tcW w:w="2297" w:type="dxa"/>
            <w:shd w:val="clear" w:color="auto" w:fill="auto"/>
          </w:tcPr>
          <w:p w14:paraId="64D3ED7A" w14:textId="77777777" w:rsidR="0046779C" w:rsidRPr="00851858" w:rsidRDefault="0046779C" w:rsidP="006106EB">
            <w:pPr>
              <w:pStyle w:val="TAC"/>
            </w:pPr>
            <w:r w:rsidRPr="00851858">
              <w:t>120</w:t>
            </w:r>
          </w:p>
        </w:tc>
        <w:tc>
          <w:tcPr>
            <w:tcW w:w="2380" w:type="dxa"/>
            <w:shd w:val="clear" w:color="auto" w:fill="auto"/>
          </w:tcPr>
          <w:p w14:paraId="314A4D25" w14:textId="77777777" w:rsidR="0046779C" w:rsidRPr="00851858" w:rsidRDefault="0046779C" w:rsidP="006106EB">
            <w:pPr>
              <w:pStyle w:val="TAC"/>
            </w:pPr>
            <w:r w:rsidRPr="00851858">
              <w:t>N.A.</w:t>
            </w:r>
          </w:p>
        </w:tc>
        <w:tc>
          <w:tcPr>
            <w:tcW w:w="2693" w:type="dxa"/>
          </w:tcPr>
          <w:p w14:paraId="0A7E5D89" w14:textId="77777777" w:rsidR="0046779C" w:rsidRPr="00851858" w:rsidRDefault="0046779C" w:rsidP="006106EB">
            <w:pPr>
              <w:pStyle w:val="TAC"/>
              <w:rPr>
                <w:lang w:eastAsia="ko-KR"/>
              </w:rPr>
            </w:pPr>
            <w:r>
              <w:t>TBD</w:t>
            </w:r>
          </w:p>
        </w:tc>
      </w:tr>
    </w:tbl>
    <w:p w14:paraId="4F9F987F" w14:textId="77777777" w:rsidR="0046779C" w:rsidRPr="001B443C" w:rsidRDefault="0046779C" w:rsidP="0046779C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14:paraId="38AA30FB" w14:textId="77777777" w:rsidR="0046779C" w:rsidRPr="00935A4D" w:rsidRDefault="0046779C" w:rsidP="0046779C">
      <w:pPr>
        <w:overflowPunct w:val="0"/>
        <w:autoSpaceDE w:val="0"/>
        <w:autoSpaceDN w:val="0"/>
        <w:adjustRightInd w:val="0"/>
        <w:textAlignment w:val="baseline"/>
      </w:pPr>
      <w:r w:rsidRPr="006A58DC">
        <w:rPr>
          <w:rFonts w:cs="v4.2.0"/>
          <w:lang w:eastAsia="ko-KR"/>
        </w:rPr>
        <w:t xml:space="preserve">For inter-band NR carrier aggregation, the UE shall be capable of handling at least a relative receive timing difference between </w:t>
      </w:r>
      <w:r w:rsidRPr="006A58DC">
        <w:rPr>
          <w:rFonts w:cs="v4.2.0" w:hint="eastAsia"/>
          <w:lang w:eastAsia="ko-KR"/>
        </w:rPr>
        <w:t>slot</w:t>
      </w:r>
      <w:r w:rsidRPr="006A58DC">
        <w:rPr>
          <w:rFonts w:cs="v4.2.0"/>
          <w:lang w:eastAsia="ko-KR"/>
        </w:rPr>
        <w:t xml:space="preserve"> timing of different carriers to be aggregated at the UE receiver as shown in Table 7.6.3-</w:t>
      </w:r>
      <w:r w:rsidRPr="001B443C">
        <w:rPr>
          <w:rFonts w:cs="v4.2.0" w:hint="eastAsia"/>
          <w:lang w:eastAsia="ko-KR"/>
        </w:rPr>
        <w:t>2</w:t>
      </w:r>
      <w:r w:rsidRPr="006A58DC">
        <w:rPr>
          <w:rFonts w:cs="v4.2.0"/>
          <w:lang w:eastAsia="ko-KR"/>
        </w:rPr>
        <w:t xml:space="preserve"> below.</w:t>
      </w:r>
      <w:r w:rsidRPr="00935A4D">
        <w:t xml:space="preserve"> </w:t>
      </w:r>
    </w:p>
    <w:p w14:paraId="7425D5C9" w14:textId="77777777" w:rsidR="0046779C" w:rsidRPr="00935A4D" w:rsidRDefault="0046779C" w:rsidP="0046779C">
      <w:pPr>
        <w:pStyle w:val="TH"/>
        <w:outlineLvl w:val="0"/>
      </w:pPr>
      <w:r>
        <w:t>Table 7.6.3-</w:t>
      </w:r>
      <w:r>
        <w:rPr>
          <w:rFonts w:hint="eastAsia"/>
          <w:lang w:eastAsia="ko-KR"/>
        </w:rPr>
        <w:t>2</w:t>
      </w:r>
      <w:r>
        <w:rPr>
          <w:lang w:eastAsia="ko-KR"/>
        </w:rPr>
        <w:t>:</w:t>
      </w:r>
      <w:r w:rsidRPr="00935A4D">
        <w:t xml:space="preserve"> Maximum receive timing difference requirement for inter-band</w:t>
      </w:r>
      <w:r>
        <w:t xml:space="preserve"> </w:t>
      </w:r>
      <w:r w:rsidRPr="00935A4D">
        <w:t xml:space="preserve">NR </w:t>
      </w:r>
      <w:r>
        <w:t>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2380"/>
        <w:gridCol w:w="2693"/>
      </w:tblGrid>
      <w:tr w:rsidR="0046779C" w:rsidRPr="00851858" w14:paraId="3A54E0E5" w14:textId="77777777" w:rsidTr="006106EB">
        <w:trPr>
          <w:jc w:val="center"/>
        </w:trPr>
        <w:tc>
          <w:tcPr>
            <w:tcW w:w="2297" w:type="dxa"/>
            <w:shd w:val="clear" w:color="auto" w:fill="auto"/>
          </w:tcPr>
          <w:p w14:paraId="6A878098" w14:textId="77777777" w:rsidR="0046779C" w:rsidRPr="001B443C" w:rsidRDefault="0046779C" w:rsidP="006106EB">
            <w:pPr>
              <w:pStyle w:val="TAH"/>
              <w:rPr>
                <w:lang w:eastAsia="ko-KR"/>
              </w:rPr>
            </w:pPr>
            <w:r w:rsidRPr="001B443C">
              <w:rPr>
                <w:rFonts w:hint="eastAsia"/>
                <w:lang w:eastAsia="ko-KR"/>
              </w:rPr>
              <w:t xml:space="preserve">DL </w:t>
            </w:r>
            <w:r w:rsidRPr="00851858">
              <w:t>Sub-carrier spacing</w:t>
            </w:r>
          </w:p>
          <w:p w14:paraId="6B5D3BBB" w14:textId="77777777" w:rsidR="0046779C" w:rsidRPr="00DE33B0" w:rsidRDefault="0046779C" w:rsidP="006106EB">
            <w:pPr>
              <w:pStyle w:val="TAH"/>
              <w:rPr>
                <w:lang w:eastAsia="ko-KR"/>
              </w:rPr>
            </w:pPr>
            <w:r w:rsidRPr="001B443C">
              <w:rPr>
                <w:rFonts w:hint="eastAsia"/>
                <w:lang w:eastAsia="ko-KR"/>
              </w:rPr>
              <w:t>(kHz)</w:t>
            </w:r>
          </w:p>
        </w:tc>
        <w:tc>
          <w:tcPr>
            <w:tcW w:w="2380" w:type="dxa"/>
            <w:shd w:val="clear" w:color="auto" w:fill="auto"/>
          </w:tcPr>
          <w:p w14:paraId="72C96014" w14:textId="77777777" w:rsidR="0046779C" w:rsidRPr="00851858" w:rsidRDefault="0046779C" w:rsidP="006106EB">
            <w:pPr>
              <w:pStyle w:val="TAH"/>
            </w:pPr>
            <w:r w:rsidRPr="00851858">
              <w:t>Maximum receive timing difference (</w:t>
            </w:r>
            <w:r w:rsidRPr="00851858">
              <w:rPr>
                <w:rFonts w:cs="Arial"/>
              </w:rPr>
              <w:t>µ</w:t>
            </w:r>
            <w:r w:rsidRPr="00851858">
              <w:t>s) for FR1</w:t>
            </w:r>
          </w:p>
        </w:tc>
        <w:tc>
          <w:tcPr>
            <w:tcW w:w="2693" w:type="dxa"/>
          </w:tcPr>
          <w:p w14:paraId="3277D5E1" w14:textId="77777777" w:rsidR="0046779C" w:rsidRPr="00851858" w:rsidRDefault="0046779C" w:rsidP="006106EB">
            <w:pPr>
              <w:pStyle w:val="TAH"/>
            </w:pPr>
            <w:r w:rsidRPr="00851858">
              <w:t>Maximum receive timing difference (</w:t>
            </w:r>
            <w:r w:rsidRPr="00851858">
              <w:rPr>
                <w:rFonts w:cs="Arial"/>
              </w:rPr>
              <w:t>µ</w:t>
            </w:r>
            <w:r w:rsidRPr="00851858">
              <w:t>s) for FR2</w:t>
            </w:r>
          </w:p>
        </w:tc>
      </w:tr>
      <w:tr w:rsidR="0046779C" w:rsidRPr="00851858" w14:paraId="4D815A71" w14:textId="77777777" w:rsidTr="006106EB">
        <w:trPr>
          <w:jc w:val="center"/>
        </w:trPr>
        <w:tc>
          <w:tcPr>
            <w:tcW w:w="2297" w:type="dxa"/>
            <w:shd w:val="clear" w:color="auto" w:fill="auto"/>
          </w:tcPr>
          <w:p w14:paraId="654487F5" w14:textId="77777777" w:rsidR="0046779C" w:rsidRPr="00851858" w:rsidRDefault="0046779C" w:rsidP="006106EB">
            <w:pPr>
              <w:pStyle w:val="TAC"/>
            </w:pPr>
            <w:r w:rsidRPr="00851858">
              <w:t>15</w:t>
            </w:r>
          </w:p>
        </w:tc>
        <w:tc>
          <w:tcPr>
            <w:tcW w:w="2380" w:type="dxa"/>
            <w:shd w:val="clear" w:color="auto" w:fill="auto"/>
          </w:tcPr>
          <w:p w14:paraId="1120A8E2" w14:textId="77777777" w:rsidR="0046779C" w:rsidRPr="00851858" w:rsidRDefault="0046779C" w:rsidP="006106EB">
            <w:pPr>
              <w:pStyle w:val="TAC"/>
            </w:pPr>
            <w:r>
              <w:t>TBD</w:t>
            </w:r>
          </w:p>
        </w:tc>
        <w:tc>
          <w:tcPr>
            <w:tcW w:w="2693" w:type="dxa"/>
          </w:tcPr>
          <w:p w14:paraId="2CFBA8A4" w14:textId="77777777" w:rsidR="0046779C" w:rsidRPr="00851858" w:rsidRDefault="0046779C" w:rsidP="006106EB">
            <w:pPr>
              <w:pStyle w:val="TAC"/>
            </w:pPr>
            <w:r w:rsidRPr="00851858">
              <w:t>N.A.</w:t>
            </w:r>
          </w:p>
        </w:tc>
      </w:tr>
      <w:tr w:rsidR="0046779C" w:rsidRPr="00851858" w14:paraId="15F73B17" w14:textId="77777777" w:rsidTr="006106EB">
        <w:trPr>
          <w:jc w:val="center"/>
        </w:trPr>
        <w:tc>
          <w:tcPr>
            <w:tcW w:w="2297" w:type="dxa"/>
            <w:shd w:val="clear" w:color="auto" w:fill="auto"/>
          </w:tcPr>
          <w:p w14:paraId="76778A19" w14:textId="77777777" w:rsidR="0046779C" w:rsidRPr="00851858" w:rsidRDefault="0046779C" w:rsidP="006106EB">
            <w:pPr>
              <w:pStyle w:val="TAC"/>
            </w:pPr>
            <w:r w:rsidRPr="00851858">
              <w:t>30</w:t>
            </w:r>
          </w:p>
        </w:tc>
        <w:tc>
          <w:tcPr>
            <w:tcW w:w="2380" w:type="dxa"/>
            <w:shd w:val="clear" w:color="auto" w:fill="auto"/>
          </w:tcPr>
          <w:p w14:paraId="62F9D43F" w14:textId="77777777" w:rsidR="0046779C" w:rsidRPr="00851858" w:rsidRDefault="0046779C" w:rsidP="006106EB">
            <w:pPr>
              <w:pStyle w:val="TAC"/>
            </w:pPr>
            <w:r>
              <w:t>TBD</w:t>
            </w:r>
          </w:p>
        </w:tc>
        <w:tc>
          <w:tcPr>
            <w:tcW w:w="2693" w:type="dxa"/>
          </w:tcPr>
          <w:p w14:paraId="255055C5" w14:textId="77777777" w:rsidR="0046779C" w:rsidRPr="00851858" w:rsidRDefault="0046779C" w:rsidP="006106EB">
            <w:pPr>
              <w:pStyle w:val="TAC"/>
            </w:pPr>
            <w:r w:rsidRPr="00851858">
              <w:t>N.A.</w:t>
            </w:r>
          </w:p>
        </w:tc>
      </w:tr>
      <w:tr w:rsidR="0046779C" w:rsidRPr="00851858" w14:paraId="347E0068" w14:textId="77777777" w:rsidTr="006106EB">
        <w:trPr>
          <w:jc w:val="center"/>
        </w:trPr>
        <w:tc>
          <w:tcPr>
            <w:tcW w:w="2297" w:type="dxa"/>
            <w:shd w:val="clear" w:color="auto" w:fill="auto"/>
          </w:tcPr>
          <w:p w14:paraId="48A290A3" w14:textId="77777777" w:rsidR="0046779C" w:rsidRPr="00851858" w:rsidRDefault="0046779C" w:rsidP="006106EB">
            <w:pPr>
              <w:pStyle w:val="TAC"/>
            </w:pPr>
            <w:r w:rsidRPr="00851858">
              <w:t>60</w:t>
            </w:r>
          </w:p>
        </w:tc>
        <w:tc>
          <w:tcPr>
            <w:tcW w:w="2380" w:type="dxa"/>
            <w:shd w:val="clear" w:color="auto" w:fill="auto"/>
          </w:tcPr>
          <w:p w14:paraId="1F93884C" w14:textId="77777777" w:rsidR="0046779C" w:rsidRPr="00851858" w:rsidRDefault="0046779C" w:rsidP="006106EB">
            <w:pPr>
              <w:pStyle w:val="TAC"/>
            </w:pPr>
            <w:r>
              <w:t>TBD</w:t>
            </w:r>
          </w:p>
        </w:tc>
        <w:tc>
          <w:tcPr>
            <w:tcW w:w="2693" w:type="dxa"/>
          </w:tcPr>
          <w:p w14:paraId="79E07F3B" w14:textId="77777777" w:rsidR="0046779C" w:rsidRPr="00851858" w:rsidRDefault="0046779C" w:rsidP="006106EB">
            <w:pPr>
              <w:pStyle w:val="TAC"/>
            </w:pPr>
            <w:r>
              <w:t>TBD</w:t>
            </w:r>
          </w:p>
        </w:tc>
      </w:tr>
      <w:tr w:rsidR="0046779C" w:rsidRPr="00851858" w14:paraId="17464A30" w14:textId="77777777" w:rsidTr="006106EB">
        <w:trPr>
          <w:jc w:val="center"/>
        </w:trPr>
        <w:tc>
          <w:tcPr>
            <w:tcW w:w="2297" w:type="dxa"/>
            <w:shd w:val="clear" w:color="auto" w:fill="auto"/>
          </w:tcPr>
          <w:p w14:paraId="60E266ED" w14:textId="77777777" w:rsidR="0046779C" w:rsidRPr="00851858" w:rsidRDefault="0046779C" w:rsidP="006106EB">
            <w:pPr>
              <w:pStyle w:val="TAC"/>
            </w:pPr>
            <w:r w:rsidRPr="00851858">
              <w:t>120</w:t>
            </w:r>
          </w:p>
        </w:tc>
        <w:tc>
          <w:tcPr>
            <w:tcW w:w="2380" w:type="dxa"/>
            <w:shd w:val="clear" w:color="auto" w:fill="auto"/>
          </w:tcPr>
          <w:p w14:paraId="6893876F" w14:textId="77777777" w:rsidR="0046779C" w:rsidRPr="00851858" w:rsidRDefault="0046779C" w:rsidP="006106EB">
            <w:pPr>
              <w:pStyle w:val="TAC"/>
            </w:pPr>
            <w:r w:rsidRPr="00851858">
              <w:t>N.A.</w:t>
            </w:r>
          </w:p>
        </w:tc>
        <w:tc>
          <w:tcPr>
            <w:tcW w:w="2693" w:type="dxa"/>
          </w:tcPr>
          <w:p w14:paraId="7EBF9865" w14:textId="77777777" w:rsidR="0046779C" w:rsidRPr="00851858" w:rsidRDefault="0046779C" w:rsidP="006106EB">
            <w:pPr>
              <w:pStyle w:val="TAC"/>
            </w:pPr>
            <w:r>
              <w:t>TBD</w:t>
            </w:r>
          </w:p>
        </w:tc>
      </w:tr>
      <w:tr w:rsidR="0046779C" w:rsidRPr="00851858" w14:paraId="47B1BE0E" w14:textId="77777777" w:rsidTr="0046779C">
        <w:trPr>
          <w:jc w:val="center"/>
        </w:trPr>
        <w:tc>
          <w:tcPr>
            <w:tcW w:w="7370" w:type="dxa"/>
            <w:gridSpan w:val="3"/>
            <w:shd w:val="clear" w:color="auto" w:fill="auto"/>
          </w:tcPr>
          <w:p w14:paraId="7E98D1B3" w14:textId="77777777" w:rsidR="0046779C" w:rsidRPr="00851858" w:rsidRDefault="0046779C" w:rsidP="006106EB">
            <w:pPr>
              <w:pStyle w:val="TAN"/>
            </w:pPr>
            <w:r>
              <w:t>Note:</w:t>
            </w:r>
            <w:r>
              <w:tab/>
            </w:r>
            <w:r w:rsidRPr="00851858">
              <w:t>For inter-band NR carrier aggregation between</w:t>
            </w:r>
            <w:r>
              <w:t xml:space="preserve"> FR1 and FR2 Maximum receive </w:t>
            </w:r>
            <w:r w:rsidRPr="00851858">
              <w:t xml:space="preserve">timing difference is </w:t>
            </w:r>
            <w:r>
              <w:t>TBD</w:t>
            </w:r>
            <w:r>
              <w:rPr>
                <w:rFonts w:hint="eastAsia"/>
                <w:lang w:eastAsia="ko-KR"/>
              </w:rPr>
              <w:t xml:space="preserve"> </w:t>
            </w:r>
            <w:r w:rsidRPr="00851858">
              <w:rPr>
                <w:rFonts w:cs="Arial"/>
              </w:rPr>
              <w:t>µ</w:t>
            </w:r>
            <w:r w:rsidRPr="00851858">
              <w:t>s.</w:t>
            </w:r>
          </w:p>
        </w:tc>
      </w:tr>
    </w:tbl>
    <w:p w14:paraId="68118D0B" w14:textId="77777777" w:rsidR="0046779C" w:rsidRDefault="0046779C" w:rsidP="00D809F3">
      <w:pPr>
        <w:spacing w:after="60"/>
        <w:rPr>
          <w:rFonts w:ascii="Arial" w:hAnsi="Arial" w:cs="Arial"/>
          <w:lang w:eastAsia="ko-KR"/>
        </w:rPr>
      </w:pPr>
    </w:p>
    <w:sectPr w:rsidR="0046779C" w:rsidSect="009D5235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2FD6DD" w14:textId="77777777" w:rsidR="0023174E" w:rsidRDefault="0023174E">
      <w:r>
        <w:separator/>
      </w:r>
    </w:p>
  </w:endnote>
  <w:endnote w:type="continuationSeparator" w:id="0">
    <w:p w14:paraId="31B4ABB9" w14:textId="77777777" w:rsidR="0023174E" w:rsidRDefault="00231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B5BA3D" w14:textId="77777777" w:rsidR="0023174E" w:rsidRDefault="0023174E">
      <w:r>
        <w:separator/>
      </w:r>
    </w:p>
  </w:footnote>
  <w:footnote w:type="continuationSeparator" w:id="0">
    <w:p w14:paraId="3BF0AD84" w14:textId="77777777" w:rsidR="0023174E" w:rsidRDefault="002317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710591"/>
    <w:multiLevelType w:val="hybridMultilevel"/>
    <w:tmpl w:val="9C7A6AB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7CF035E"/>
    <w:multiLevelType w:val="hybridMultilevel"/>
    <w:tmpl w:val="19A4EF08"/>
    <w:lvl w:ilvl="0" w:tplc="E3A013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D0618A8"/>
    <w:multiLevelType w:val="hybridMultilevel"/>
    <w:tmpl w:val="626E9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F3025B8"/>
    <w:multiLevelType w:val="hybridMultilevel"/>
    <w:tmpl w:val="58B6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AEF453B"/>
    <w:multiLevelType w:val="hybridMultilevel"/>
    <w:tmpl w:val="463A9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034013"/>
    <w:multiLevelType w:val="hybridMultilevel"/>
    <w:tmpl w:val="A96E7F10"/>
    <w:lvl w:ilvl="0" w:tplc="57E42C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FDC7E7D"/>
    <w:multiLevelType w:val="hybridMultilevel"/>
    <w:tmpl w:val="6B728564"/>
    <w:lvl w:ilvl="0" w:tplc="2932D65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2" w15:restartNumberingAfterBreak="0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925C0D"/>
    <w:multiLevelType w:val="hybridMultilevel"/>
    <w:tmpl w:val="88B620A4"/>
    <w:lvl w:ilvl="0" w:tplc="7E644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0" w15:restartNumberingAfterBreak="0">
    <w:nsid w:val="6E645364"/>
    <w:multiLevelType w:val="hybridMultilevel"/>
    <w:tmpl w:val="402A2134"/>
    <w:lvl w:ilvl="0" w:tplc="403821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3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25"/>
  </w:num>
  <w:num w:numId="4">
    <w:abstractNumId w:val="18"/>
  </w:num>
  <w:num w:numId="5">
    <w:abstractNumId w:val="13"/>
  </w:num>
  <w:num w:numId="6">
    <w:abstractNumId w:val="29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36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46"/>
  </w:num>
  <w:num w:numId="16">
    <w:abstractNumId w:val="35"/>
  </w:num>
  <w:num w:numId="17">
    <w:abstractNumId w:val="45"/>
  </w:num>
  <w:num w:numId="18">
    <w:abstractNumId w:val="24"/>
  </w:num>
  <w:num w:numId="19">
    <w:abstractNumId w:val="16"/>
  </w:num>
  <w:num w:numId="20">
    <w:abstractNumId w:val="43"/>
  </w:num>
  <w:num w:numId="21">
    <w:abstractNumId w:val="34"/>
  </w:num>
  <w:num w:numId="22">
    <w:abstractNumId w:val="17"/>
  </w:num>
  <w:num w:numId="23">
    <w:abstractNumId w:val="6"/>
  </w:num>
  <w:num w:numId="24">
    <w:abstractNumId w:val="14"/>
  </w:num>
  <w:num w:numId="25">
    <w:abstractNumId w:val="4"/>
  </w:num>
  <w:num w:numId="26">
    <w:abstractNumId w:val="26"/>
  </w:num>
  <w:num w:numId="27">
    <w:abstractNumId w:val="41"/>
  </w:num>
  <w:num w:numId="28">
    <w:abstractNumId w:val="31"/>
  </w:num>
  <w:num w:numId="29">
    <w:abstractNumId w:val="39"/>
  </w:num>
  <w:num w:numId="30">
    <w:abstractNumId w:val="19"/>
  </w:num>
  <w:num w:numId="31">
    <w:abstractNumId w:val="32"/>
  </w:num>
  <w:num w:numId="32">
    <w:abstractNumId w:val="7"/>
  </w:num>
  <w:num w:numId="33">
    <w:abstractNumId w:val="23"/>
  </w:num>
  <w:num w:numId="34">
    <w:abstractNumId w:val="33"/>
  </w:num>
  <w:num w:numId="35">
    <w:abstractNumId w:val="12"/>
  </w:num>
  <w:num w:numId="36">
    <w:abstractNumId w:val="42"/>
  </w:num>
  <w:num w:numId="3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8">
    <w:abstractNumId w:val="37"/>
  </w:num>
  <w:num w:numId="39">
    <w:abstractNumId w:val="20"/>
  </w:num>
  <w:num w:numId="40">
    <w:abstractNumId w:val="9"/>
  </w:num>
  <w:num w:numId="41">
    <w:abstractNumId w:val="27"/>
  </w:num>
  <w:num w:numId="42">
    <w:abstractNumId w:val="28"/>
  </w:num>
  <w:num w:numId="43">
    <w:abstractNumId w:val="40"/>
  </w:num>
  <w:num w:numId="44">
    <w:abstractNumId w:val="11"/>
  </w:num>
  <w:num w:numId="45">
    <w:abstractNumId w:val="22"/>
  </w:num>
  <w:num w:numId="46">
    <w:abstractNumId w:val="38"/>
  </w:num>
  <w:num w:numId="47">
    <w:abstractNumId w:val="8"/>
  </w:num>
  <w:num w:numId="48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16B8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3FFD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769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5128"/>
    <w:rsid w:val="000758A5"/>
    <w:rsid w:val="00075F67"/>
    <w:rsid w:val="00076D65"/>
    <w:rsid w:val="00077746"/>
    <w:rsid w:val="0008019C"/>
    <w:rsid w:val="00080B67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90586"/>
    <w:rsid w:val="00090623"/>
    <w:rsid w:val="00090D17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A04CC"/>
    <w:rsid w:val="000A0924"/>
    <w:rsid w:val="000A114C"/>
    <w:rsid w:val="000A2211"/>
    <w:rsid w:val="000A25E2"/>
    <w:rsid w:val="000A27AC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4631"/>
    <w:rsid w:val="000B5AE5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675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1C32"/>
    <w:rsid w:val="001221B6"/>
    <w:rsid w:val="00122F69"/>
    <w:rsid w:val="00124226"/>
    <w:rsid w:val="0012486D"/>
    <w:rsid w:val="001250B3"/>
    <w:rsid w:val="001251C8"/>
    <w:rsid w:val="0012774E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712"/>
    <w:rsid w:val="00135CB5"/>
    <w:rsid w:val="00136A8A"/>
    <w:rsid w:val="00137D8D"/>
    <w:rsid w:val="00140849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C7F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2F93"/>
    <w:rsid w:val="00163241"/>
    <w:rsid w:val="0016427F"/>
    <w:rsid w:val="00165CDA"/>
    <w:rsid w:val="0016697A"/>
    <w:rsid w:val="00167588"/>
    <w:rsid w:val="00167FC4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25F5"/>
    <w:rsid w:val="001D336B"/>
    <w:rsid w:val="001D3B68"/>
    <w:rsid w:val="001D4138"/>
    <w:rsid w:val="001D4B18"/>
    <w:rsid w:val="001D628D"/>
    <w:rsid w:val="001D7771"/>
    <w:rsid w:val="001D7A4B"/>
    <w:rsid w:val="001E22CA"/>
    <w:rsid w:val="001E238F"/>
    <w:rsid w:val="001E2917"/>
    <w:rsid w:val="001E2A1F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174E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493D"/>
    <w:rsid w:val="00274C15"/>
    <w:rsid w:val="00274ECC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239"/>
    <w:rsid w:val="002A65FD"/>
    <w:rsid w:val="002A7EDA"/>
    <w:rsid w:val="002B0388"/>
    <w:rsid w:val="002B0D14"/>
    <w:rsid w:val="002B1F9F"/>
    <w:rsid w:val="002B24DC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8AE"/>
    <w:rsid w:val="002C38B9"/>
    <w:rsid w:val="002C40DA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8D7"/>
    <w:rsid w:val="002E0AA2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C1B"/>
    <w:rsid w:val="002E3C6E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4DD8"/>
    <w:rsid w:val="003D506B"/>
    <w:rsid w:val="003D519F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66E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200D"/>
    <w:rsid w:val="0043454C"/>
    <w:rsid w:val="0043576A"/>
    <w:rsid w:val="004371D8"/>
    <w:rsid w:val="004406BC"/>
    <w:rsid w:val="0044202C"/>
    <w:rsid w:val="004423FA"/>
    <w:rsid w:val="004435E2"/>
    <w:rsid w:val="00444939"/>
    <w:rsid w:val="00444E7E"/>
    <w:rsid w:val="00446A61"/>
    <w:rsid w:val="00446BC2"/>
    <w:rsid w:val="00447317"/>
    <w:rsid w:val="00447436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79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033"/>
    <w:rsid w:val="0048662C"/>
    <w:rsid w:val="00486ACF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B0"/>
    <w:rsid w:val="004C6034"/>
    <w:rsid w:val="004D011F"/>
    <w:rsid w:val="004D0A72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23D5"/>
    <w:rsid w:val="004E2A9D"/>
    <w:rsid w:val="004E3C84"/>
    <w:rsid w:val="004E62E9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0A35"/>
    <w:rsid w:val="0052117A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5891"/>
    <w:rsid w:val="00535960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3C95"/>
    <w:rsid w:val="005541BB"/>
    <w:rsid w:val="005542AF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70F4"/>
    <w:rsid w:val="005F0898"/>
    <w:rsid w:val="005F0B6C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F5E"/>
    <w:rsid w:val="006270CE"/>
    <w:rsid w:val="00627875"/>
    <w:rsid w:val="006301E5"/>
    <w:rsid w:val="006305E9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6AA"/>
    <w:rsid w:val="00661721"/>
    <w:rsid w:val="00662440"/>
    <w:rsid w:val="00662ED6"/>
    <w:rsid w:val="0066329A"/>
    <w:rsid w:val="00663ADF"/>
    <w:rsid w:val="006642D9"/>
    <w:rsid w:val="006647D0"/>
    <w:rsid w:val="00666381"/>
    <w:rsid w:val="00666DC3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5A9"/>
    <w:rsid w:val="0069069A"/>
    <w:rsid w:val="0069085C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3F88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6D5F"/>
    <w:rsid w:val="006D7581"/>
    <w:rsid w:val="006D7776"/>
    <w:rsid w:val="006E16BE"/>
    <w:rsid w:val="006E21FB"/>
    <w:rsid w:val="006E2738"/>
    <w:rsid w:val="006E2D77"/>
    <w:rsid w:val="006E3061"/>
    <w:rsid w:val="006E5B4B"/>
    <w:rsid w:val="006E6435"/>
    <w:rsid w:val="006E6BE0"/>
    <w:rsid w:val="006F0D69"/>
    <w:rsid w:val="006F1027"/>
    <w:rsid w:val="006F108F"/>
    <w:rsid w:val="006F1E23"/>
    <w:rsid w:val="006F298B"/>
    <w:rsid w:val="006F2CDF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5077"/>
    <w:rsid w:val="00705523"/>
    <w:rsid w:val="007065DB"/>
    <w:rsid w:val="0070678D"/>
    <w:rsid w:val="00706B66"/>
    <w:rsid w:val="0070743B"/>
    <w:rsid w:val="007075B1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12A6"/>
    <w:rsid w:val="00761846"/>
    <w:rsid w:val="00761CC9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40D2"/>
    <w:rsid w:val="00775ACC"/>
    <w:rsid w:val="007766CD"/>
    <w:rsid w:val="0077704F"/>
    <w:rsid w:val="007772FA"/>
    <w:rsid w:val="00781029"/>
    <w:rsid w:val="00781AAF"/>
    <w:rsid w:val="00781B92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B5C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B0E19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674"/>
    <w:rsid w:val="007B7A5E"/>
    <w:rsid w:val="007B7D45"/>
    <w:rsid w:val="007B7D93"/>
    <w:rsid w:val="007C04E6"/>
    <w:rsid w:val="007C066F"/>
    <w:rsid w:val="007C069F"/>
    <w:rsid w:val="007C0BB0"/>
    <w:rsid w:val="007C0BC6"/>
    <w:rsid w:val="007C2097"/>
    <w:rsid w:val="007C2A7C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2F13"/>
    <w:rsid w:val="008135C8"/>
    <w:rsid w:val="0081364B"/>
    <w:rsid w:val="00813D6A"/>
    <w:rsid w:val="00813E00"/>
    <w:rsid w:val="00814BD5"/>
    <w:rsid w:val="008151B9"/>
    <w:rsid w:val="008151D9"/>
    <w:rsid w:val="00815868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EFC"/>
    <w:rsid w:val="008265E8"/>
    <w:rsid w:val="00827B95"/>
    <w:rsid w:val="00827E4A"/>
    <w:rsid w:val="00830A2A"/>
    <w:rsid w:val="00830A62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1A6C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66C3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DB8"/>
    <w:rsid w:val="008A3280"/>
    <w:rsid w:val="008A3731"/>
    <w:rsid w:val="008A3DB4"/>
    <w:rsid w:val="008A5A2F"/>
    <w:rsid w:val="008A698F"/>
    <w:rsid w:val="008B0BDE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B09"/>
    <w:rsid w:val="00907E20"/>
    <w:rsid w:val="0091149F"/>
    <w:rsid w:val="00911C75"/>
    <w:rsid w:val="00912551"/>
    <w:rsid w:val="009129C5"/>
    <w:rsid w:val="00913459"/>
    <w:rsid w:val="009138D3"/>
    <w:rsid w:val="00913ED2"/>
    <w:rsid w:val="00914673"/>
    <w:rsid w:val="00914934"/>
    <w:rsid w:val="00914E34"/>
    <w:rsid w:val="00914F9F"/>
    <w:rsid w:val="00915494"/>
    <w:rsid w:val="00917018"/>
    <w:rsid w:val="00917F86"/>
    <w:rsid w:val="0092057E"/>
    <w:rsid w:val="00920616"/>
    <w:rsid w:val="00920665"/>
    <w:rsid w:val="0092211C"/>
    <w:rsid w:val="00922CC5"/>
    <w:rsid w:val="00922F38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9E7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D49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BCD"/>
    <w:rsid w:val="009B3D08"/>
    <w:rsid w:val="009B4044"/>
    <w:rsid w:val="009B430A"/>
    <w:rsid w:val="009B4B03"/>
    <w:rsid w:val="009B4D0A"/>
    <w:rsid w:val="009B5EB0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5061"/>
    <w:rsid w:val="009D5235"/>
    <w:rsid w:val="009D5252"/>
    <w:rsid w:val="009D5A35"/>
    <w:rsid w:val="009D6A02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6660"/>
    <w:rsid w:val="009F0767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C32"/>
    <w:rsid w:val="00A41E7C"/>
    <w:rsid w:val="00A458A9"/>
    <w:rsid w:val="00A47B29"/>
    <w:rsid w:val="00A47E70"/>
    <w:rsid w:val="00A505FA"/>
    <w:rsid w:val="00A50CFB"/>
    <w:rsid w:val="00A519F5"/>
    <w:rsid w:val="00A51A11"/>
    <w:rsid w:val="00A53AAE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530D"/>
    <w:rsid w:val="00A65522"/>
    <w:rsid w:val="00A6596D"/>
    <w:rsid w:val="00A65C34"/>
    <w:rsid w:val="00A66CCF"/>
    <w:rsid w:val="00A675CB"/>
    <w:rsid w:val="00A67722"/>
    <w:rsid w:val="00A67C1C"/>
    <w:rsid w:val="00A7006D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02C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174F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4E16"/>
    <w:rsid w:val="00AF4FEA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872"/>
    <w:rsid w:val="00B35CD0"/>
    <w:rsid w:val="00B36C7C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627E"/>
    <w:rsid w:val="00B9677A"/>
    <w:rsid w:val="00B97DCB"/>
    <w:rsid w:val="00BA0956"/>
    <w:rsid w:val="00BA1425"/>
    <w:rsid w:val="00BA145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C22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2C3B"/>
    <w:rsid w:val="00C032CC"/>
    <w:rsid w:val="00C03785"/>
    <w:rsid w:val="00C0387C"/>
    <w:rsid w:val="00C04E08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6E18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A4D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0C4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604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23EC"/>
    <w:rsid w:val="00C82F81"/>
    <w:rsid w:val="00C84B83"/>
    <w:rsid w:val="00C8506F"/>
    <w:rsid w:val="00C85F05"/>
    <w:rsid w:val="00C867CF"/>
    <w:rsid w:val="00C86B9A"/>
    <w:rsid w:val="00C8796E"/>
    <w:rsid w:val="00C91825"/>
    <w:rsid w:val="00C93162"/>
    <w:rsid w:val="00C93769"/>
    <w:rsid w:val="00C93A3D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8AE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6FE"/>
    <w:rsid w:val="00CF246E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CE8"/>
    <w:rsid w:val="00D40E63"/>
    <w:rsid w:val="00D41284"/>
    <w:rsid w:val="00D427CE"/>
    <w:rsid w:val="00D449E8"/>
    <w:rsid w:val="00D44B6C"/>
    <w:rsid w:val="00D44BB1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408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F41"/>
    <w:rsid w:val="00DA149A"/>
    <w:rsid w:val="00DA16DB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FE3"/>
    <w:rsid w:val="00DE0794"/>
    <w:rsid w:val="00DE08BE"/>
    <w:rsid w:val="00DE099B"/>
    <w:rsid w:val="00DE132E"/>
    <w:rsid w:val="00DE1CC9"/>
    <w:rsid w:val="00DE234B"/>
    <w:rsid w:val="00DE28E0"/>
    <w:rsid w:val="00DE2BAC"/>
    <w:rsid w:val="00DE2F70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78F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30A"/>
    <w:rsid w:val="00E33396"/>
    <w:rsid w:val="00E33898"/>
    <w:rsid w:val="00E34D0D"/>
    <w:rsid w:val="00E35512"/>
    <w:rsid w:val="00E35601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3EF0"/>
    <w:rsid w:val="00EA3F66"/>
    <w:rsid w:val="00EA3FB3"/>
    <w:rsid w:val="00EA49F1"/>
    <w:rsid w:val="00EA6C22"/>
    <w:rsid w:val="00EA6FAE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B9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944"/>
    <w:rsid w:val="00EE0BEF"/>
    <w:rsid w:val="00EE0F19"/>
    <w:rsid w:val="00EE1061"/>
    <w:rsid w:val="00EE27CF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40CF"/>
    <w:rsid w:val="00F34766"/>
    <w:rsid w:val="00F34C02"/>
    <w:rsid w:val="00F34F6C"/>
    <w:rsid w:val="00F34FA5"/>
    <w:rsid w:val="00F35402"/>
    <w:rsid w:val="00F35B37"/>
    <w:rsid w:val="00F35C06"/>
    <w:rsid w:val="00F35F53"/>
    <w:rsid w:val="00F36754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0725"/>
    <w:rsid w:val="00F51D5F"/>
    <w:rsid w:val="00F52478"/>
    <w:rsid w:val="00F52B90"/>
    <w:rsid w:val="00F530D7"/>
    <w:rsid w:val="00F54037"/>
    <w:rsid w:val="00F5465B"/>
    <w:rsid w:val="00F54927"/>
    <w:rsid w:val="00F55AB9"/>
    <w:rsid w:val="00F55E10"/>
    <w:rsid w:val="00F56438"/>
    <w:rsid w:val="00F56C60"/>
    <w:rsid w:val="00F57095"/>
    <w:rsid w:val="00F6065E"/>
    <w:rsid w:val="00F6106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64FF"/>
    <w:rsid w:val="00F67420"/>
    <w:rsid w:val="00F67D84"/>
    <w:rsid w:val="00F67F6D"/>
    <w:rsid w:val="00F70E51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1F18"/>
    <w:rsid w:val="00FA213D"/>
    <w:rsid w:val="00FA2B35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0F15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C27"/>
    <w:rsid w:val="00FF15A1"/>
    <w:rsid w:val="00FF1987"/>
    <w:rsid w:val="00FF2239"/>
    <w:rsid w:val="00FF2394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link w:val="TACChar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  <w:style w:type="character" w:customStyle="1" w:styleId="TACChar">
    <w:name w:val="TAC Char"/>
    <w:link w:val="TAC"/>
    <w:rsid w:val="0046779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6779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2AD42-AA02-4B0A-A150-B0898BE52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2017-04-13T02:23:00Z</dcterms:created>
  <dcterms:modified xsi:type="dcterms:W3CDTF">2018-04-05T13:17:00Z</dcterms:modified>
</cp:coreProperties>
</file>